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C2" w:rsidRPr="008E066A" w:rsidRDefault="00DA5DC2" w:rsidP="008E066A">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Гендерний підхід</w:t>
      </w:r>
      <w:r w:rsidRPr="008E066A">
        <w:rPr>
          <w:rFonts w:ascii="Times New Roman" w:hAnsi="Times New Roman"/>
          <w:b/>
          <w:sz w:val="28"/>
          <w:szCs w:val="28"/>
          <w:lang w:val="uk-UA"/>
        </w:rPr>
        <w:t xml:space="preserve"> під час розроблення нормативно – правових актів</w:t>
      </w:r>
    </w:p>
    <w:p w:rsidR="00DA5DC2" w:rsidRDefault="00DA5DC2" w:rsidP="004A7AD5">
      <w:pPr>
        <w:spacing w:after="0" w:line="240" w:lineRule="auto"/>
        <w:ind w:firstLine="708"/>
        <w:jc w:val="both"/>
        <w:rPr>
          <w:rFonts w:ascii="Times New Roman" w:hAnsi="Times New Roman"/>
          <w:sz w:val="24"/>
          <w:szCs w:val="24"/>
          <w:lang w:val="uk-UA"/>
        </w:rPr>
      </w:pPr>
      <w:r w:rsidRPr="004A7AD5">
        <w:rPr>
          <w:rFonts w:ascii="Times New Roman" w:hAnsi="Times New Roman"/>
          <w:sz w:val="24"/>
          <w:szCs w:val="24"/>
          <w:lang w:val="uk-UA"/>
        </w:rPr>
        <w:t>Наказом Міністерства соціальної політики України від 07.02.2020 року № 86</w:t>
      </w:r>
      <w:r>
        <w:rPr>
          <w:rFonts w:ascii="Times New Roman" w:hAnsi="Times New Roman"/>
          <w:sz w:val="24"/>
          <w:szCs w:val="24"/>
          <w:lang w:val="uk-UA"/>
        </w:rPr>
        <w:t xml:space="preserve"> «Про затвердження Інструкції щодо інтеграції гендерних підходів під час розроблення нормативно-правових актів» </w:t>
      </w:r>
      <w:r w:rsidRPr="004A7AD5">
        <w:rPr>
          <w:rFonts w:ascii="Times New Roman" w:hAnsi="Times New Roman"/>
          <w:sz w:val="24"/>
          <w:szCs w:val="24"/>
          <w:lang w:val="uk-UA"/>
        </w:rPr>
        <w:t xml:space="preserve"> затверджено інструкцію щодо інтеграції гендерних підходів під час розроблення нормативно – правових актів. </w:t>
      </w:r>
    </w:p>
    <w:p w:rsidR="00DA5DC2" w:rsidRDefault="00DA5DC2" w:rsidP="004A7AD5">
      <w:pPr>
        <w:spacing w:after="0" w:line="240" w:lineRule="auto"/>
        <w:ind w:firstLine="708"/>
        <w:jc w:val="both"/>
        <w:rPr>
          <w:rStyle w:val="rvts0"/>
          <w:rFonts w:ascii="Times New Roman" w:hAnsi="Times New Roman"/>
          <w:sz w:val="24"/>
          <w:szCs w:val="24"/>
          <w:lang w:val="uk-UA"/>
        </w:rPr>
      </w:pPr>
      <w:r w:rsidRPr="004A7AD5">
        <w:rPr>
          <w:rStyle w:val="rvts0"/>
          <w:rFonts w:ascii="Times New Roman" w:hAnsi="Times New Roman"/>
          <w:sz w:val="24"/>
          <w:szCs w:val="24"/>
          <w:lang w:val="uk-UA"/>
        </w:rPr>
        <w:t xml:space="preserve">Ця Інструкція встановлює загальні вимоги до застосування гендерних підходів під час розроблення нормативно-правових актів з метою виконання норм </w:t>
      </w:r>
      <w:hyperlink r:id="rId5" w:tgtFrame="_blank" w:history="1">
        <w:r w:rsidRPr="004A7AD5">
          <w:rPr>
            <w:rStyle w:val="Hyperlink"/>
            <w:rFonts w:ascii="Times New Roman" w:hAnsi="Times New Roman"/>
            <w:sz w:val="24"/>
            <w:szCs w:val="24"/>
            <w:lang w:val="uk-UA"/>
          </w:rPr>
          <w:t>Закону України</w:t>
        </w:r>
      </w:hyperlink>
      <w:r w:rsidRPr="004A7AD5">
        <w:rPr>
          <w:rStyle w:val="rvts0"/>
          <w:rFonts w:ascii="Times New Roman" w:hAnsi="Times New Roman"/>
          <w:sz w:val="24"/>
          <w:szCs w:val="24"/>
          <w:lang w:val="uk-UA"/>
        </w:rPr>
        <w:t xml:space="preserve"> «Про забезпечення рівних прав та можливостей жінок і чоловіків».</w:t>
      </w:r>
    </w:p>
    <w:p w:rsidR="00DA5DC2" w:rsidRPr="004A7AD5" w:rsidRDefault="00DA5DC2" w:rsidP="004A7AD5">
      <w:pPr>
        <w:pStyle w:val="rvps2"/>
        <w:spacing w:before="0" w:beforeAutospacing="0" w:after="0" w:afterAutospacing="0"/>
        <w:ind w:firstLine="708"/>
        <w:jc w:val="both"/>
        <w:rPr>
          <w:lang w:val="uk-UA"/>
        </w:rPr>
      </w:pPr>
      <w:r w:rsidRPr="004A7AD5">
        <w:rPr>
          <w:lang w:val="uk-UA"/>
        </w:rPr>
        <w:t>Упровадження гендерного аналізу в процеси формування державної політики пов’язане, зокрема, з потребою подолання підходу, за якого гендерна рівність розглядається як однакове ставлення до всіх громадян незалежно від соціальних чи інших обставин. Водночас рівність означає забезпечення однакових можливостей доступу до державних гарантій для всіх громадян незалежно від статі, віку, інвалідності, місця проживання, раси, кольору шкіри, політичних, релігійних та інших переконань, етнічного та соціального походження, громадянства, сімейного та майнового стану, мовних, належності до маломобільних груп або інших ознак. Ефективність реалізації державної політики залежить від якнайповнішого урахування особливих та відмінних фізичних, соціальних, економічних характеристик і життєвого досвіду різних соціально-демографічних груп жіно</w:t>
      </w:r>
      <w:r>
        <w:rPr>
          <w:lang w:val="uk-UA"/>
        </w:rPr>
        <w:t>к і чоловіків, дівчат і хлопців.</w:t>
      </w:r>
    </w:p>
    <w:p w:rsidR="00DA5DC2" w:rsidRPr="004A7AD5" w:rsidRDefault="00DA5DC2" w:rsidP="004A7AD5">
      <w:pPr>
        <w:pStyle w:val="rvps2"/>
        <w:spacing w:before="0" w:beforeAutospacing="0" w:after="0" w:afterAutospacing="0"/>
        <w:ind w:firstLine="708"/>
        <w:jc w:val="both"/>
        <w:rPr>
          <w:lang w:val="uk-UA"/>
        </w:rPr>
      </w:pPr>
      <w:bookmarkStart w:id="0" w:name="n20"/>
      <w:bookmarkEnd w:id="0"/>
      <w:r w:rsidRPr="004A7AD5">
        <w:rPr>
          <w:lang w:val="uk-UA"/>
        </w:rPr>
        <w:t>Різний вплив реалізації нормативно-правових актів на різні групи населення, включаючи маломобільні, (за статтю, віком, сімейним станом, місцем проживання, расою, кольором шкіри, політичними, релігійними та іншими переконаннями, інвалідністю, етнічним та соціальним походженням, громадянством, майновим станом, мовною ознакою тощо) не завжди є чітко вираженим. Гендерний підхід дає можливість виявити відмінності такого впливу та знайти оптимальні шляхи передбачення в нормативно-правовому акті врахування потреб та інтересів різних груп населення.</w:t>
      </w:r>
    </w:p>
    <w:p w:rsidR="00DA5DC2" w:rsidRDefault="00DA5DC2" w:rsidP="004A7AD5">
      <w:pPr>
        <w:pStyle w:val="rvps2"/>
        <w:spacing w:before="0" w:beforeAutospacing="0" w:after="0" w:afterAutospacing="0"/>
        <w:jc w:val="both"/>
        <w:rPr>
          <w:lang w:val="uk-UA"/>
        </w:rPr>
      </w:pPr>
      <w:bookmarkStart w:id="1" w:name="n21"/>
      <w:bookmarkEnd w:id="1"/>
      <w:r>
        <w:rPr>
          <w:lang w:val="uk-UA"/>
        </w:rPr>
        <w:t xml:space="preserve">Терміни, які вживаються в </w:t>
      </w:r>
      <w:r w:rsidRPr="004A7AD5">
        <w:rPr>
          <w:lang w:val="uk-UA"/>
        </w:rPr>
        <w:t xml:space="preserve"> Інструкції</w:t>
      </w:r>
      <w:r>
        <w:rPr>
          <w:lang w:val="uk-UA"/>
        </w:rPr>
        <w:t xml:space="preserve">: </w:t>
      </w:r>
      <w:r w:rsidRPr="004A7AD5">
        <w:rPr>
          <w:lang w:val="uk-UA"/>
        </w:rPr>
        <w:t xml:space="preserve"> </w:t>
      </w:r>
      <w:bookmarkStart w:id="2" w:name="n22"/>
      <w:bookmarkEnd w:id="2"/>
    </w:p>
    <w:p w:rsidR="00DA5DC2" w:rsidRPr="004A7AD5" w:rsidRDefault="00DA5DC2" w:rsidP="004A7AD5">
      <w:pPr>
        <w:pStyle w:val="rvps2"/>
        <w:spacing w:before="0" w:beforeAutospacing="0" w:after="0" w:afterAutospacing="0"/>
        <w:ind w:firstLine="708"/>
        <w:jc w:val="both"/>
        <w:rPr>
          <w:lang w:val="uk-UA"/>
        </w:rPr>
      </w:pPr>
      <w:r w:rsidRPr="004A7AD5">
        <w:rPr>
          <w:b/>
          <w:u w:val="single"/>
          <w:lang w:val="uk-UA"/>
        </w:rPr>
        <w:t>гендер</w:t>
      </w:r>
      <w:r w:rsidRPr="004A7AD5">
        <w:rPr>
          <w:lang w:val="uk-UA"/>
        </w:rPr>
        <w:t xml:space="preserve"> - соціально закріплені ролі, поведінка, діяльність і характерні ознаки, які певне суспільство вважає належними для жінок/чоловіків;</w:t>
      </w:r>
    </w:p>
    <w:p w:rsidR="00DA5DC2" w:rsidRPr="004A7AD5" w:rsidRDefault="00DA5DC2" w:rsidP="004A7AD5">
      <w:pPr>
        <w:pStyle w:val="rvps2"/>
        <w:spacing w:before="0" w:beforeAutospacing="0" w:after="0" w:afterAutospacing="0"/>
        <w:ind w:firstLine="708"/>
        <w:jc w:val="both"/>
        <w:rPr>
          <w:lang w:val="uk-UA"/>
        </w:rPr>
      </w:pPr>
      <w:bookmarkStart w:id="3" w:name="n23"/>
      <w:bookmarkEnd w:id="3"/>
      <w:r w:rsidRPr="004A7AD5">
        <w:rPr>
          <w:b/>
          <w:u w:val="single"/>
          <w:lang w:val="uk-UA"/>
        </w:rPr>
        <w:t>гендерний аналіз</w:t>
      </w:r>
      <w:r w:rsidRPr="004A7AD5">
        <w:rPr>
          <w:lang w:val="uk-UA"/>
        </w:rPr>
        <w:t xml:space="preserve"> - вивчення відмінностей між жінками та чоловіками в умовах, потребах, рівнях участі, доступу до ресурсів та управління ними, повноваженнях у прийнятті рішень тощо, зумовлених усталеними в суспільстві гендерними ролями (нормами, очікуваними моделями поведінки, діяльністю, характерними рисами, що вважаються притаманними для чоловіків/жінок);</w:t>
      </w:r>
    </w:p>
    <w:p w:rsidR="00DA5DC2" w:rsidRPr="004A7AD5" w:rsidRDefault="00DA5DC2" w:rsidP="004A7AD5">
      <w:pPr>
        <w:pStyle w:val="rvps2"/>
        <w:spacing w:before="0" w:beforeAutospacing="0" w:after="0" w:afterAutospacing="0"/>
        <w:ind w:firstLine="708"/>
        <w:jc w:val="both"/>
        <w:rPr>
          <w:lang w:val="uk-UA"/>
        </w:rPr>
      </w:pPr>
      <w:bookmarkStart w:id="4" w:name="n24"/>
      <w:bookmarkEnd w:id="4"/>
      <w:r w:rsidRPr="004A7AD5">
        <w:rPr>
          <w:b/>
          <w:u w:val="single"/>
          <w:lang w:val="uk-UA"/>
        </w:rPr>
        <w:t>гендерний підхід</w:t>
      </w:r>
      <w:r w:rsidRPr="004A7AD5">
        <w:rPr>
          <w:lang w:val="uk-UA"/>
        </w:rPr>
        <w:t xml:space="preserve"> - стратегія, що забезпечує врахування інтересів і досвіду жінок та чоловіків як невід’ємної складової планування, реалізації, моніторингу та оцінювання політики і програм у політичній, економічній, культурній і соціальній сферах для отримання жінками та чоловіками рівних благ;</w:t>
      </w:r>
    </w:p>
    <w:p w:rsidR="00DA5DC2" w:rsidRDefault="00DA5DC2" w:rsidP="004A7AD5">
      <w:pPr>
        <w:pStyle w:val="rvps2"/>
        <w:spacing w:before="0" w:beforeAutospacing="0" w:after="0" w:afterAutospacing="0"/>
        <w:ind w:firstLine="708"/>
        <w:jc w:val="both"/>
      </w:pPr>
      <w:bookmarkStart w:id="5" w:name="n25"/>
      <w:bookmarkEnd w:id="5"/>
      <w:r w:rsidRPr="004A7AD5">
        <w:rPr>
          <w:b/>
          <w:u w:val="single"/>
          <w:lang w:val="uk-UA"/>
        </w:rPr>
        <w:t>гендерно нейтральний підхід</w:t>
      </w:r>
      <w:r w:rsidRPr="004A7AD5">
        <w:rPr>
          <w:lang w:val="uk-UA"/>
        </w:rPr>
        <w:t xml:space="preserve"> - політика неврахування відмінностей у становищі різних груп жінок і чоловіків, їхніх статусах, потребах, пріоритетах. </w:t>
      </w:r>
      <w:r>
        <w:t>Такий підхід передбачає, що державна політика і відповідні державні/регіональні програми однаковою мірою впливають на всі групи населення;</w:t>
      </w:r>
    </w:p>
    <w:p w:rsidR="00DA5DC2" w:rsidRPr="004A7AD5" w:rsidRDefault="00DA5DC2" w:rsidP="004A7AD5">
      <w:pPr>
        <w:pStyle w:val="rvps2"/>
        <w:spacing w:before="0" w:beforeAutospacing="0" w:after="0" w:afterAutospacing="0"/>
        <w:ind w:firstLine="708"/>
        <w:jc w:val="both"/>
        <w:rPr>
          <w:lang w:val="uk-UA"/>
        </w:rPr>
      </w:pPr>
      <w:bookmarkStart w:id="6" w:name="n26"/>
      <w:bookmarkEnd w:id="6"/>
      <w:r w:rsidRPr="004A7AD5">
        <w:rPr>
          <w:b/>
          <w:u w:val="single"/>
          <w:lang w:val="uk-UA"/>
        </w:rPr>
        <w:t>гендерно чутливий підхід</w:t>
      </w:r>
      <w:r w:rsidRPr="004A7AD5">
        <w:rPr>
          <w:lang w:val="uk-UA"/>
        </w:rPr>
        <w:t xml:space="preserve"> - урахування специфічних соціальних, культурних, економічних, політичних та інших характеристик умов життя та потреб жінок і чоловіків;</w:t>
      </w:r>
    </w:p>
    <w:p w:rsidR="00DA5DC2" w:rsidRPr="004A7AD5" w:rsidRDefault="00DA5DC2" w:rsidP="004A7AD5">
      <w:pPr>
        <w:pStyle w:val="rvps2"/>
        <w:spacing w:before="0" w:beforeAutospacing="0" w:after="0" w:afterAutospacing="0"/>
        <w:ind w:firstLine="708"/>
        <w:jc w:val="both"/>
        <w:rPr>
          <w:lang w:val="uk-UA"/>
        </w:rPr>
      </w:pPr>
      <w:bookmarkStart w:id="7" w:name="n27"/>
      <w:bookmarkEnd w:id="7"/>
      <w:r w:rsidRPr="004A7AD5">
        <w:rPr>
          <w:b/>
          <w:u w:val="single"/>
          <w:lang w:val="uk-UA"/>
        </w:rPr>
        <w:t>заінтересована особа</w:t>
      </w:r>
      <w:r w:rsidRPr="004A7AD5">
        <w:rPr>
          <w:lang w:val="uk-UA"/>
        </w:rPr>
        <w:t xml:space="preserve"> - будь-яка фізична чи юридична особа або громадське об’єднання без статусу юридичної особи (резидент чи нерезидент України), що має безпосередній або опосередкований інтерес щодо діяльності з розроблення, прийняття та реалізації нормативно-правових актів;</w:t>
      </w:r>
    </w:p>
    <w:p w:rsidR="00DA5DC2" w:rsidRDefault="00DA5DC2" w:rsidP="004A7AD5">
      <w:pPr>
        <w:pStyle w:val="rvps2"/>
        <w:spacing w:before="0" w:beforeAutospacing="0" w:after="0" w:afterAutospacing="0"/>
        <w:ind w:firstLine="708"/>
        <w:jc w:val="both"/>
      </w:pPr>
      <w:bookmarkStart w:id="8" w:name="n28"/>
      <w:bookmarkEnd w:id="8"/>
      <w:r w:rsidRPr="004A7AD5">
        <w:rPr>
          <w:b/>
          <w:u w:val="single"/>
        </w:rPr>
        <w:t>моніторинг</w:t>
      </w:r>
      <w:r>
        <w:t xml:space="preserve"> - система постійного спостереження за явищами і процесами, що відбуваються в суспільстві, результати якого служать для обґрунтування управлінських рішень;</w:t>
      </w:r>
    </w:p>
    <w:p w:rsidR="00DA5DC2" w:rsidRDefault="00DA5DC2" w:rsidP="004A7AD5">
      <w:pPr>
        <w:pStyle w:val="rvps2"/>
        <w:spacing w:before="0" w:beforeAutospacing="0" w:after="0" w:afterAutospacing="0"/>
        <w:ind w:firstLine="708"/>
        <w:jc w:val="both"/>
      </w:pPr>
      <w:bookmarkStart w:id="9" w:name="n29"/>
      <w:bookmarkEnd w:id="9"/>
      <w:r w:rsidRPr="004A7AD5">
        <w:rPr>
          <w:b/>
          <w:u w:val="single"/>
        </w:rPr>
        <w:t>оцінювання</w:t>
      </w:r>
      <w:r>
        <w:t xml:space="preserve"> - аналітичний інструмент для визначення прямих ефектів, результативності та довгострокових наслідків реалізації державних програм, галузевої політики, програм розвитку, проєктів некомерційного сектору, корпоративних програм;</w:t>
      </w:r>
    </w:p>
    <w:p w:rsidR="00DA5DC2" w:rsidRPr="004A7AD5" w:rsidRDefault="00DA5DC2" w:rsidP="004A7AD5">
      <w:pPr>
        <w:pStyle w:val="rvps2"/>
        <w:spacing w:before="0" w:beforeAutospacing="0" w:after="0" w:afterAutospacing="0"/>
        <w:ind w:firstLine="708"/>
        <w:jc w:val="both"/>
        <w:rPr>
          <w:lang w:val="uk-UA"/>
        </w:rPr>
      </w:pPr>
      <w:bookmarkStart w:id="10" w:name="n30"/>
      <w:bookmarkEnd w:id="10"/>
      <w:r w:rsidRPr="004A7AD5">
        <w:rPr>
          <w:b/>
          <w:u w:val="single"/>
          <w:lang w:val="uk-UA"/>
        </w:rPr>
        <w:t>оцінка гендерного впливу</w:t>
      </w:r>
      <w:r w:rsidRPr="004A7AD5">
        <w:rPr>
          <w:lang w:val="uk-UA"/>
        </w:rPr>
        <w:t xml:space="preserve"> - процес визначення прямого чи опосередкованого впливу (позитивного, негативного чи нейтрального), коротко- та довгострокових наслідків реалізації державної політики на становище різних груп хлопців і дівчат, жінок і чоловіків, який дає змогу своєчасно усунути диспропорції та гендерну нерівність;</w:t>
      </w:r>
    </w:p>
    <w:p w:rsidR="00DA5DC2" w:rsidRPr="004A7AD5" w:rsidRDefault="00DA5DC2" w:rsidP="004A7AD5">
      <w:pPr>
        <w:pStyle w:val="rvps2"/>
        <w:spacing w:before="0" w:beforeAutospacing="0" w:after="0" w:afterAutospacing="0"/>
        <w:ind w:firstLine="708"/>
        <w:jc w:val="both"/>
        <w:rPr>
          <w:lang w:val="uk-UA"/>
        </w:rPr>
      </w:pPr>
      <w:bookmarkStart w:id="11" w:name="n31"/>
      <w:bookmarkEnd w:id="11"/>
      <w:r w:rsidRPr="004A7AD5">
        <w:rPr>
          <w:b/>
          <w:u w:val="single"/>
          <w:lang w:val="uk-UA"/>
        </w:rPr>
        <w:t>практичні гендерні потреби</w:t>
      </w:r>
      <w:r w:rsidRPr="004A7AD5">
        <w:rPr>
          <w:lang w:val="uk-UA"/>
        </w:rPr>
        <w:t xml:space="preserve"> - потреби, пов’язані з умовами, в яких опиняються жінки та чоловіки через їхні гендерні ролі, усталені в суспільстві (зокрема, асоціювання з жінками виконання обов’язків із догляду за дітьми та іншими членами сім’ї, ведення домогосподарства), а також із ситуаціями, що виникають у зв’язку з нерівністю в умовах життя і праці (щодо продуктів харчування, води, житла, доходів, медичної</w:t>
      </w:r>
      <w:r>
        <w:rPr>
          <w:lang w:val="uk-UA"/>
        </w:rPr>
        <w:t xml:space="preserve"> допомоги, працевлаштування</w:t>
      </w:r>
      <w:r w:rsidRPr="004A7AD5">
        <w:rPr>
          <w:lang w:val="uk-UA"/>
        </w:rPr>
        <w:t>);</w:t>
      </w:r>
    </w:p>
    <w:p w:rsidR="00DA5DC2" w:rsidRDefault="00DA5DC2" w:rsidP="002A3613">
      <w:pPr>
        <w:pStyle w:val="rvps2"/>
        <w:spacing w:before="0" w:beforeAutospacing="0" w:after="0" w:afterAutospacing="0"/>
        <w:ind w:firstLine="708"/>
        <w:jc w:val="both"/>
      </w:pPr>
      <w:bookmarkStart w:id="12" w:name="n32"/>
      <w:bookmarkEnd w:id="12"/>
      <w:r w:rsidRPr="002A3613">
        <w:rPr>
          <w:b/>
          <w:u w:val="single"/>
        </w:rPr>
        <w:t>стать</w:t>
      </w:r>
      <w:r>
        <w:t xml:space="preserve"> - сукупність ознак біологічних та фізіологічних особливостей особи;</w:t>
      </w:r>
    </w:p>
    <w:p w:rsidR="00DA5DC2" w:rsidRPr="002A3613" w:rsidRDefault="00DA5DC2" w:rsidP="002A3613">
      <w:pPr>
        <w:pStyle w:val="rvps2"/>
        <w:spacing w:before="0" w:beforeAutospacing="0" w:after="0" w:afterAutospacing="0"/>
        <w:ind w:firstLine="708"/>
        <w:jc w:val="both"/>
        <w:rPr>
          <w:lang w:val="uk-UA"/>
        </w:rPr>
      </w:pPr>
      <w:bookmarkStart w:id="13" w:name="n33"/>
      <w:bookmarkEnd w:id="13"/>
      <w:r w:rsidRPr="002A3613">
        <w:rPr>
          <w:b/>
          <w:u w:val="single"/>
          <w:lang w:val="uk-UA"/>
        </w:rPr>
        <w:t>стратегічні гендерні потреби</w:t>
      </w:r>
      <w:r w:rsidRPr="002A3613">
        <w:rPr>
          <w:lang w:val="uk-UA"/>
        </w:rPr>
        <w:t xml:space="preserve"> - потреби, що спрямовані на усунення залежності жінок від чоловіків у суспільстві, пов’язані з розширенням можливостей жінок і залежать від конкретних соціальних, економічних і політичних умов.</w:t>
      </w:r>
    </w:p>
    <w:p w:rsidR="00DA5DC2" w:rsidRDefault="00DA5DC2" w:rsidP="002A3613">
      <w:pPr>
        <w:pStyle w:val="rvps2"/>
        <w:spacing w:before="0" w:beforeAutospacing="0" w:after="0" w:afterAutospacing="0"/>
        <w:ind w:firstLine="708"/>
        <w:jc w:val="both"/>
        <w:rPr>
          <w:lang w:val="uk-UA"/>
        </w:rPr>
      </w:pPr>
      <w:r>
        <w:t xml:space="preserve">Базовою складовою впровадження гендерного підходу під час розроблення нормативно-правових актів є гендерний аналіз, </w:t>
      </w:r>
      <w:r>
        <w:rPr>
          <w:lang w:val="uk-UA"/>
        </w:rPr>
        <w:t xml:space="preserve">який дає змогу: </w:t>
      </w:r>
      <w:bookmarkStart w:id="14" w:name="n37"/>
      <w:bookmarkEnd w:id="14"/>
    </w:p>
    <w:p w:rsidR="00DA5DC2" w:rsidRPr="002A3613" w:rsidRDefault="00DA5DC2" w:rsidP="002A3613">
      <w:pPr>
        <w:pStyle w:val="rvps2"/>
        <w:spacing w:before="0" w:beforeAutospacing="0" w:after="0" w:afterAutospacing="0"/>
        <w:ind w:firstLine="708"/>
        <w:jc w:val="both"/>
        <w:rPr>
          <w:lang w:val="uk-UA"/>
        </w:rPr>
      </w:pPr>
      <w:r w:rsidRPr="002A3613">
        <w:rPr>
          <w:lang w:val="uk-UA"/>
        </w:rPr>
        <w:t>1.</w:t>
      </w:r>
      <w:r>
        <w:rPr>
          <w:lang w:val="uk-UA"/>
        </w:rPr>
        <w:t xml:space="preserve"> </w:t>
      </w:r>
      <w:r w:rsidRPr="002A3613">
        <w:rPr>
          <w:lang w:val="uk-UA"/>
        </w:rPr>
        <w:t>визначити фактичне становище жінок і чоловіків та/або їх груп, виявити їхні потреби та інтереси у відповідній сфері/галузі або у розв’язанні проблеми, для усунення якої готується нормативно-правовий акт;</w:t>
      </w:r>
    </w:p>
    <w:p w:rsidR="00DA5DC2" w:rsidRDefault="00DA5DC2" w:rsidP="002A3613">
      <w:pPr>
        <w:pStyle w:val="rvps2"/>
        <w:spacing w:before="0" w:beforeAutospacing="0" w:after="0" w:afterAutospacing="0"/>
        <w:ind w:firstLine="708"/>
        <w:jc w:val="both"/>
      </w:pPr>
      <w:bookmarkStart w:id="15" w:name="n38"/>
      <w:bookmarkEnd w:id="15"/>
      <w:r>
        <w:rPr>
          <w:lang w:val="uk-UA"/>
        </w:rPr>
        <w:t xml:space="preserve">2. </w:t>
      </w:r>
      <w:r>
        <w:t>визначити прямий та/або опосередкований вплив нормативно-правового акта на різні групи населення. Прямий вплив на різні групи жінок і чоловіків мають нормативно-правові акти, що стосуються прав і свобод людини, визначених Конституцією та законодавством України.</w:t>
      </w:r>
    </w:p>
    <w:p w:rsidR="00DA5DC2" w:rsidRDefault="00DA5DC2" w:rsidP="002A3613">
      <w:pPr>
        <w:pStyle w:val="rvps2"/>
        <w:spacing w:before="0" w:beforeAutospacing="0" w:after="0" w:afterAutospacing="0"/>
        <w:ind w:firstLine="708"/>
        <w:jc w:val="both"/>
      </w:pPr>
      <w:bookmarkStart w:id="16" w:name="n39"/>
      <w:bookmarkEnd w:id="16"/>
      <w:r>
        <w:t>Опосередкований вплив на різні групи жінок і чоловіків мають нормативно-правові акти, що, зокрема, встановлюють правовий режим (щодо землі, майна, митний, прикордонний); правовий статус юридичних осіб; певні правила (природокористування, дорожнього руху, пожежної безпеки); вимоги щодо охорони навколишнього природного середовища, рослинного та тваринного світу; технічні або процедурні норми.</w:t>
      </w:r>
    </w:p>
    <w:p w:rsidR="00DA5DC2" w:rsidRDefault="00DA5DC2" w:rsidP="002A3613">
      <w:pPr>
        <w:pStyle w:val="rvps2"/>
        <w:spacing w:before="0" w:beforeAutospacing="0" w:after="0" w:afterAutospacing="0"/>
        <w:ind w:firstLine="708"/>
        <w:jc w:val="both"/>
      </w:pPr>
      <w:bookmarkStart w:id="17" w:name="n40"/>
      <w:bookmarkEnd w:id="17"/>
      <w:r>
        <w:t>Результати гендерного аналізу використовуються для подальшого визначення оптимального варіанта розв’язання проблеми, на усунення якої спрямовується нормативно-правовий акт.</w:t>
      </w:r>
    </w:p>
    <w:p w:rsidR="00DA5DC2" w:rsidRDefault="00DA5DC2" w:rsidP="002A3613">
      <w:pPr>
        <w:pStyle w:val="rvps2"/>
        <w:spacing w:before="0" w:beforeAutospacing="0" w:after="0" w:afterAutospacing="0"/>
        <w:ind w:firstLine="708"/>
        <w:jc w:val="both"/>
      </w:pPr>
      <w:bookmarkStart w:id="18" w:name="n41"/>
      <w:bookmarkEnd w:id="18"/>
      <w:r>
        <w:t>Під час проведення гендерного аналізу використовуються статистичні дані з розподілом за статтю, віком, місцем проживання, ознаками інвалідності та іншими ознаками, що стосуються проблеми, на розв’язання якої спрямовується нормативно-правовий акт.</w:t>
      </w:r>
    </w:p>
    <w:p w:rsidR="00DA5DC2" w:rsidRDefault="00DA5DC2" w:rsidP="002A3613">
      <w:pPr>
        <w:pStyle w:val="rvps2"/>
        <w:spacing w:before="0" w:beforeAutospacing="0" w:after="0" w:afterAutospacing="0"/>
        <w:ind w:firstLine="708"/>
        <w:jc w:val="both"/>
      </w:pPr>
      <w:r>
        <w:t>Застосування гендерного підходу під час розроблення нормативно-правового акта передбачається на шести етапах:</w:t>
      </w:r>
    </w:p>
    <w:p w:rsidR="00DA5DC2" w:rsidRDefault="00DA5DC2" w:rsidP="002A3613">
      <w:pPr>
        <w:pStyle w:val="rvps2"/>
        <w:spacing w:before="0" w:beforeAutospacing="0" w:after="0" w:afterAutospacing="0"/>
        <w:ind w:firstLine="708"/>
        <w:jc w:val="both"/>
      </w:pPr>
      <w:bookmarkStart w:id="19" w:name="n44"/>
      <w:bookmarkEnd w:id="19"/>
      <w:r w:rsidRPr="002A3613">
        <w:rPr>
          <w:b/>
        </w:rPr>
        <w:t>Етап 1</w:t>
      </w:r>
      <w:r>
        <w:t>. Визначення проблеми, на розв’язання якої спрямовується нормативно-правовий акт, та аналіз причин її виникнення.</w:t>
      </w:r>
    </w:p>
    <w:p w:rsidR="00DA5DC2" w:rsidRDefault="00DA5DC2" w:rsidP="002A3613">
      <w:pPr>
        <w:pStyle w:val="rvps2"/>
        <w:spacing w:before="0" w:beforeAutospacing="0" w:after="0" w:afterAutospacing="0"/>
        <w:ind w:firstLine="708"/>
        <w:jc w:val="both"/>
      </w:pPr>
      <w:bookmarkStart w:id="20" w:name="n45"/>
      <w:bookmarkEnd w:id="20"/>
      <w:r w:rsidRPr="002A3613">
        <w:rPr>
          <w:b/>
        </w:rPr>
        <w:t>Етап 2</w:t>
      </w:r>
      <w:r>
        <w:t>. Визначення мети нормативно-правового акта.</w:t>
      </w:r>
    </w:p>
    <w:p w:rsidR="00DA5DC2" w:rsidRDefault="00DA5DC2" w:rsidP="002A3613">
      <w:pPr>
        <w:pStyle w:val="rvps2"/>
        <w:spacing w:before="0" w:beforeAutospacing="0" w:after="0" w:afterAutospacing="0"/>
        <w:ind w:firstLine="708"/>
        <w:jc w:val="both"/>
      </w:pPr>
      <w:bookmarkStart w:id="21" w:name="n46"/>
      <w:bookmarkEnd w:id="21"/>
      <w:r w:rsidRPr="002A3613">
        <w:rPr>
          <w:b/>
        </w:rPr>
        <w:t>Етап 3.</w:t>
      </w:r>
      <w:r>
        <w:t xml:space="preserve"> Аналіз можливих варіантів розв’язання проблеми. Визначення оптимального варіанта розв’язання проблеми, для усунення якої розробляється нормативно-правовий акт.</w:t>
      </w:r>
    </w:p>
    <w:p w:rsidR="00DA5DC2" w:rsidRDefault="00DA5DC2" w:rsidP="002A3613">
      <w:pPr>
        <w:pStyle w:val="rvps2"/>
        <w:spacing w:before="0" w:beforeAutospacing="0" w:after="0" w:afterAutospacing="0"/>
        <w:ind w:firstLine="708"/>
        <w:jc w:val="both"/>
      </w:pPr>
      <w:bookmarkStart w:id="22" w:name="n47"/>
      <w:bookmarkEnd w:id="22"/>
      <w:r w:rsidRPr="002A3613">
        <w:rPr>
          <w:b/>
        </w:rPr>
        <w:t>Етап 4.</w:t>
      </w:r>
      <w:r>
        <w:t xml:space="preserve"> Визначення шляхів і способів розв’язання проблеми.</w:t>
      </w:r>
    </w:p>
    <w:p w:rsidR="00DA5DC2" w:rsidRDefault="00DA5DC2" w:rsidP="002A3613">
      <w:pPr>
        <w:pStyle w:val="rvps2"/>
        <w:spacing w:before="0" w:beforeAutospacing="0" w:after="0" w:afterAutospacing="0"/>
        <w:ind w:firstLine="708"/>
        <w:jc w:val="both"/>
      </w:pPr>
      <w:bookmarkStart w:id="23" w:name="n48"/>
      <w:bookmarkEnd w:id="23"/>
      <w:r w:rsidRPr="002A3613">
        <w:rPr>
          <w:b/>
        </w:rPr>
        <w:t>Етап 5.</w:t>
      </w:r>
      <w:r>
        <w:t xml:space="preserve"> Обговорення проєкту нормативно-правового акта.</w:t>
      </w:r>
    </w:p>
    <w:p w:rsidR="00DA5DC2" w:rsidRDefault="00DA5DC2" w:rsidP="002A3613">
      <w:pPr>
        <w:pStyle w:val="rvps2"/>
        <w:spacing w:before="0" w:beforeAutospacing="0" w:after="0" w:afterAutospacing="0"/>
        <w:ind w:firstLine="708"/>
        <w:jc w:val="both"/>
      </w:pPr>
      <w:bookmarkStart w:id="24" w:name="n49"/>
      <w:bookmarkEnd w:id="24"/>
      <w:r w:rsidRPr="002A3613">
        <w:rPr>
          <w:b/>
        </w:rPr>
        <w:t>Етап 6.</w:t>
      </w:r>
      <w:r>
        <w:t xml:space="preserve"> Моніторинг та оцінювання дії нормативно-правового акта.</w:t>
      </w:r>
    </w:p>
    <w:p w:rsidR="00DA5DC2" w:rsidRDefault="00DA5DC2" w:rsidP="004A7AD5">
      <w:pPr>
        <w:spacing w:after="0" w:line="240" w:lineRule="auto"/>
        <w:jc w:val="both"/>
        <w:rPr>
          <w:rFonts w:ascii="Times New Roman" w:hAnsi="Times New Roman"/>
          <w:sz w:val="24"/>
          <w:szCs w:val="24"/>
          <w:lang w:val="uk-UA"/>
        </w:rPr>
      </w:pPr>
    </w:p>
    <w:p w:rsidR="00DA5DC2" w:rsidRDefault="00DA5DC2" w:rsidP="002A3613">
      <w:pPr>
        <w:pStyle w:val="NormalWeb"/>
        <w:ind w:firstLine="708"/>
        <w:jc w:val="both"/>
      </w:pPr>
      <w:r>
        <w:t xml:space="preserve">Якщо </w:t>
      </w:r>
      <w:r>
        <w:rPr>
          <w:lang w:val="uk-UA"/>
        </w:rPr>
        <w:t xml:space="preserve"> під </w:t>
      </w:r>
      <w:r>
        <w:t>час</w:t>
      </w:r>
      <w:r>
        <w:rPr>
          <w:lang w:val="uk-UA"/>
        </w:rPr>
        <w:t xml:space="preserve"> карантину </w:t>
      </w:r>
      <w:r>
        <w:t xml:space="preserve"> у вас знайдеться трохи часу, щоб детальніше розібратися у питаннях ґендерної рівності, пропонуємо до уваги он-лайн курси: </w:t>
      </w:r>
    </w:p>
    <w:p w:rsidR="00DA5DC2" w:rsidRDefault="00DA5DC2" w:rsidP="002A3613">
      <w:pPr>
        <w:pStyle w:val="NormalWeb"/>
        <w:numPr>
          <w:ilvl w:val="0"/>
          <w:numId w:val="3"/>
        </w:numPr>
      </w:pPr>
      <w:r>
        <w:t xml:space="preserve"> Жінки та чоловіки: гендер для всіх - </w:t>
      </w:r>
      <w:hyperlink r:id="rId6" w:tgtFrame="_blank" w:history="1">
        <w:r>
          <w:rPr>
            <w:rStyle w:val="Hyperlink"/>
          </w:rPr>
          <w:t>https://courses.prometheus.org.ua/cours…/…/101/2015_T2/about</w:t>
        </w:r>
      </w:hyperlink>
    </w:p>
    <w:p w:rsidR="00DA5DC2" w:rsidRDefault="00DA5DC2" w:rsidP="002A3613">
      <w:pPr>
        <w:pStyle w:val="NormalWeb"/>
        <w:numPr>
          <w:ilvl w:val="0"/>
          <w:numId w:val="3"/>
        </w:numPr>
      </w:pPr>
      <w:r>
        <w:t xml:space="preserve">Ґендерно орієнтоване бюджетування для розвитку громад - </w:t>
      </w:r>
      <w:hyperlink r:id="rId7" w:tgtFrame="_blank" w:history="1">
        <w:r>
          <w:rPr>
            <w:rStyle w:val="Hyperlink"/>
          </w:rPr>
          <w:t>https://edx.prometheus.org.ua/…/course-v1:AMU+GOB101+…/about</w:t>
        </w:r>
      </w:hyperlink>
    </w:p>
    <w:p w:rsidR="00DA5DC2" w:rsidRDefault="00DA5DC2" w:rsidP="002A3613">
      <w:pPr>
        <w:pStyle w:val="NormalWeb"/>
        <w:numPr>
          <w:ilvl w:val="0"/>
          <w:numId w:val="3"/>
        </w:numPr>
      </w:pPr>
      <w:r>
        <w:t xml:space="preserve">Ґендерна політика для розвитку місцевого самоврядування - </w:t>
      </w:r>
      <w:hyperlink r:id="rId8" w:tgtFrame="_blank" w:history="1">
        <w:r>
          <w:rPr>
            <w:rStyle w:val="Hyperlink"/>
          </w:rPr>
          <w:t>https://udl.despro.org.ua/</w:t>
        </w:r>
      </w:hyperlink>
    </w:p>
    <w:p w:rsidR="00DA5DC2" w:rsidRDefault="00DA5DC2" w:rsidP="002A3613">
      <w:pPr>
        <w:pStyle w:val="NormalWeb"/>
        <w:numPr>
          <w:ilvl w:val="0"/>
          <w:numId w:val="3"/>
        </w:numPr>
      </w:pPr>
      <w:r>
        <w:t xml:space="preserve">Курси від Гендерного інформаційно-аналітичного центру «КРОНА» - </w:t>
      </w:r>
      <w:hyperlink r:id="rId9" w:tgtFrame="_blank" w:history="1">
        <w:r>
          <w:rPr>
            <w:rStyle w:val="Hyperlink"/>
          </w:rPr>
          <w:t>https://genderindetail.org.ua/…/distantsiyni-onlayn-kursi-v…</w:t>
        </w:r>
      </w:hyperlink>
      <w:r>
        <w:t xml:space="preserve"> </w:t>
      </w:r>
    </w:p>
    <w:p w:rsidR="00DA5DC2" w:rsidRDefault="00DA5DC2" w:rsidP="00833296">
      <w:pPr>
        <w:spacing w:after="0" w:line="240" w:lineRule="auto"/>
        <w:jc w:val="center"/>
        <w:rPr>
          <w:rStyle w:val="Strong"/>
          <w:rFonts w:ascii="Times New Roman" w:hAnsi="Times New Roman"/>
          <w:sz w:val="28"/>
          <w:szCs w:val="28"/>
          <w:lang w:val="uk-UA"/>
        </w:rPr>
      </w:pPr>
      <w:r w:rsidRPr="00833296">
        <w:rPr>
          <w:rStyle w:val="Strong"/>
          <w:rFonts w:ascii="Times New Roman" w:hAnsi="Times New Roman"/>
          <w:sz w:val="28"/>
          <w:szCs w:val="28"/>
        </w:rPr>
        <w:t xml:space="preserve">Національна "гаряча лінія" з попередження домашнього насильства, </w:t>
      </w:r>
    </w:p>
    <w:p w:rsidR="00DA5DC2" w:rsidRDefault="00DA5DC2" w:rsidP="00833296">
      <w:pPr>
        <w:spacing w:after="0" w:line="240" w:lineRule="auto"/>
        <w:jc w:val="center"/>
        <w:rPr>
          <w:rStyle w:val="Strong"/>
          <w:rFonts w:ascii="Times New Roman" w:hAnsi="Times New Roman"/>
          <w:sz w:val="28"/>
          <w:szCs w:val="28"/>
          <w:lang w:val="uk-UA"/>
        </w:rPr>
      </w:pPr>
      <w:r w:rsidRPr="00833296">
        <w:rPr>
          <w:rStyle w:val="Strong"/>
          <w:rFonts w:ascii="Times New Roman" w:hAnsi="Times New Roman"/>
          <w:sz w:val="28"/>
          <w:szCs w:val="28"/>
        </w:rPr>
        <w:t xml:space="preserve">торгівлі людьми та ґендерної дискримінації </w:t>
      </w:r>
    </w:p>
    <w:p w:rsidR="00DA5DC2" w:rsidRDefault="00DA5DC2" w:rsidP="00833296">
      <w:pPr>
        <w:spacing w:after="0" w:line="240" w:lineRule="auto"/>
        <w:jc w:val="center"/>
        <w:rPr>
          <w:rStyle w:val="Strong"/>
          <w:rFonts w:ascii="Times New Roman" w:hAnsi="Times New Roman"/>
          <w:sz w:val="28"/>
          <w:szCs w:val="28"/>
          <w:lang w:val="uk-UA"/>
        </w:rPr>
      </w:pPr>
      <w:r w:rsidRPr="00833296">
        <w:rPr>
          <w:rStyle w:val="Strong"/>
          <w:rFonts w:ascii="Times New Roman" w:hAnsi="Times New Roman"/>
          <w:sz w:val="28"/>
          <w:szCs w:val="28"/>
        </w:rPr>
        <w:t>0 800 500 335 або 116 123 (короткий номер з мобільного)</w:t>
      </w:r>
    </w:p>
    <w:p w:rsidR="00DA5DC2" w:rsidRPr="0002436E" w:rsidRDefault="00DA5DC2" w:rsidP="0002436E">
      <w:pPr>
        <w:spacing w:after="0" w:line="240" w:lineRule="auto"/>
        <w:jc w:val="both"/>
        <w:rPr>
          <w:rFonts w:ascii="Times New Roman" w:hAnsi="Times New Roman"/>
          <w:b/>
          <w:sz w:val="24"/>
          <w:szCs w:val="24"/>
          <w:lang w:val="uk-UA"/>
        </w:rPr>
      </w:pPr>
      <w:r w:rsidRPr="0002436E">
        <w:rPr>
          <w:rStyle w:val="Strong"/>
          <w:rFonts w:ascii="Times New Roman" w:hAnsi="Times New Roman"/>
          <w:b w:val="0"/>
          <w:sz w:val="24"/>
          <w:szCs w:val="24"/>
          <w:lang w:val="uk-UA"/>
        </w:rPr>
        <w:t>Інформація надана управління соціального захисту населення Новопсковської РДА</w:t>
      </w:r>
    </w:p>
    <w:sectPr w:rsidR="00DA5DC2" w:rsidRPr="0002436E" w:rsidSect="004A7AD5">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F3B"/>
    <w:multiLevelType w:val="hybridMultilevel"/>
    <w:tmpl w:val="999EC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F30E8F"/>
    <w:multiLevelType w:val="hybridMultilevel"/>
    <w:tmpl w:val="B07AAD10"/>
    <w:lvl w:ilvl="0" w:tplc="924631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DC329C1"/>
    <w:multiLevelType w:val="hybridMultilevel"/>
    <w:tmpl w:val="3B384DD6"/>
    <w:lvl w:ilvl="0" w:tplc="616AA304">
      <w:start w:val="1"/>
      <w:numFmt w:val="decimal"/>
      <w:lvlText w:val="%1."/>
      <w:lvlJc w:val="left"/>
      <w:pPr>
        <w:ind w:left="720" w:hanging="360"/>
      </w:pPr>
      <w:rPr>
        <w:rFonts w:cs="Times New Roman" w:hint="default"/>
        <w:sz w:val="2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AD5"/>
    <w:rsid w:val="0002436E"/>
    <w:rsid w:val="000E0D9E"/>
    <w:rsid w:val="002A3613"/>
    <w:rsid w:val="004A7AD5"/>
    <w:rsid w:val="00540359"/>
    <w:rsid w:val="005659BB"/>
    <w:rsid w:val="005B22D3"/>
    <w:rsid w:val="007151E4"/>
    <w:rsid w:val="00833296"/>
    <w:rsid w:val="008B3B52"/>
    <w:rsid w:val="008E066A"/>
    <w:rsid w:val="00916506"/>
    <w:rsid w:val="009E0FA2"/>
    <w:rsid w:val="00AD552F"/>
    <w:rsid w:val="00DA5DC2"/>
    <w:rsid w:val="00DC3BE2"/>
    <w:rsid w:val="00F678B0"/>
    <w:rsid w:val="00FE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4A7AD5"/>
    <w:rPr>
      <w:rFonts w:cs="Times New Roman"/>
    </w:rPr>
  </w:style>
  <w:style w:type="character" w:styleId="Hyperlink">
    <w:name w:val="Hyperlink"/>
    <w:basedOn w:val="DefaultParagraphFont"/>
    <w:uiPriority w:val="99"/>
    <w:semiHidden/>
    <w:rsid w:val="004A7AD5"/>
    <w:rPr>
      <w:rFonts w:cs="Times New Roman"/>
      <w:color w:val="0000FF"/>
      <w:u w:val="single"/>
    </w:rPr>
  </w:style>
  <w:style w:type="paragraph" w:customStyle="1" w:styleId="rvps2">
    <w:name w:val="rvps2"/>
    <w:basedOn w:val="Normal"/>
    <w:uiPriority w:val="99"/>
    <w:rsid w:val="004A7AD5"/>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2A36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qdm">
    <w:name w:val="_6qdm"/>
    <w:basedOn w:val="DefaultParagraphFont"/>
    <w:uiPriority w:val="99"/>
    <w:rsid w:val="002A3613"/>
    <w:rPr>
      <w:rFonts w:cs="Times New Roman"/>
    </w:rPr>
  </w:style>
  <w:style w:type="character" w:styleId="Strong">
    <w:name w:val="Strong"/>
    <w:basedOn w:val="DefaultParagraphFont"/>
    <w:uiPriority w:val="99"/>
    <w:qFormat/>
    <w:rsid w:val="00833296"/>
    <w:rPr>
      <w:rFonts w:cs="Times New Roman"/>
      <w:b/>
      <w:bCs/>
    </w:rPr>
  </w:style>
</w:styles>
</file>

<file path=word/webSettings.xml><?xml version="1.0" encoding="utf-8"?>
<w:webSettings xmlns:r="http://schemas.openxmlformats.org/officeDocument/2006/relationships" xmlns:w="http://schemas.openxmlformats.org/wordprocessingml/2006/main">
  <w:divs>
    <w:div w:id="2014381443">
      <w:marLeft w:val="0"/>
      <w:marRight w:val="0"/>
      <w:marTop w:val="0"/>
      <w:marBottom w:val="0"/>
      <w:divBdr>
        <w:top w:val="none" w:sz="0" w:space="0" w:color="auto"/>
        <w:left w:val="none" w:sz="0" w:space="0" w:color="auto"/>
        <w:bottom w:val="none" w:sz="0" w:space="0" w:color="auto"/>
        <w:right w:val="none" w:sz="0" w:space="0" w:color="auto"/>
      </w:divBdr>
      <w:divsChild>
        <w:div w:id="2014381444">
          <w:marLeft w:val="0"/>
          <w:marRight w:val="0"/>
          <w:marTop w:val="0"/>
          <w:marBottom w:val="0"/>
          <w:divBdr>
            <w:top w:val="none" w:sz="0" w:space="0" w:color="auto"/>
            <w:left w:val="none" w:sz="0" w:space="0" w:color="auto"/>
            <w:bottom w:val="none" w:sz="0" w:space="0" w:color="auto"/>
            <w:right w:val="none" w:sz="0" w:space="0" w:color="auto"/>
          </w:divBdr>
        </w:div>
      </w:divsChild>
    </w:div>
    <w:div w:id="2014381445">
      <w:marLeft w:val="0"/>
      <w:marRight w:val="0"/>
      <w:marTop w:val="0"/>
      <w:marBottom w:val="0"/>
      <w:divBdr>
        <w:top w:val="none" w:sz="0" w:space="0" w:color="auto"/>
        <w:left w:val="none" w:sz="0" w:space="0" w:color="auto"/>
        <w:bottom w:val="none" w:sz="0" w:space="0" w:color="auto"/>
        <w:right w:val="none" w:sz="0" w:space="0" w:color="auto"/>
      </w:divBdr>
    </w:div>
    <w:div w:id="2014381446">
      <w:marLeft w:val="0"/>
      <w:marRight w:val="0"/>
      <w:marTop w:val="0"/>
      <w:marBottom w:val="0"/>
      <w:divBdr>
        <w:top w:val="none" w:sz="0" w:space="0" w:color="auto"/>
        <w:left w:val="none" w:sz="0" w:space="0" w:color="auto"/>
        <w:bottom w:val="none" w:sz="0" w:space="0" w:color="auto"/>
        <w:right w:val="none" w:sz="0" w:space="0" w:color="auto"/>
      </w:divBdr>
    </w:div>
    <w:div w:id="2014381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l.despro.org.ua/?fbclid=IwAR2MweAz-ctA1J2KoRDoIJ4IpMM3Q42RDa_W117WfBcTY2H7BAooJAT76SM" TargetMode="External"/><Relationship Id="rId3" Type="http://schemas.openxmlformats.org/officeDocument/2006/relationships/settings" Target="settings.xml"/><Relationship Id="rId7" Type="http://schemas.openxmlformats.org/officeDocument/2006/relationships/hyperlink" Target="https://edx.prometheus.org.ua/courses/course-v1:AMU+GOB101+2018_T3/about?fbclid=IwAR33jHcJzN49Ao1NZSNyzz19oCdAy7wXU-fNU2cityF0v56904nyfr9IL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prometheus.org.ua/courses/IRF/101/2015_T2/about?fbclid=IwAR0zs-gM7gSmQxNQFoN7Zi8ZP5lBxsemQW1WoW8AE4X-n9AuM_D2jQrAVWo" TargetMode="External"/><Relationship Id="rId11" Type="http://schemas.openxmlformats.org/officeDocument/2006/relationships/theme" Target="theme/theme1.xml"/><Relationship Id="rId5" Type="http://schemas.openxmlformats.org/officeDocument/2006/relationships/hyperlink" Target="https://zakon.rada.gov.ua/laws/show/2866-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nderindetail.org.ua/season-topic/osvita-i-prosvita/distantsiyni-onlayn-kursi-vid-gendernogo-informatsiyno-analitichnogo-tsentru-krona-134105.html?fbclid=IwAR0rsa6iw4SUUa4OEhB6GS45HLG2hGDegFDSTTE4wylH6YtceNpG5gqju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Pages>
  <Words>1292</Words>
  <Characters>7365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2020-04-01T12:22:00Z</dcterms:created>
  <dcterms:modified xsi:type="dcterms:W3CDTF">2020-04-03T13:21:00Z</dcterms:modified>
</cp:coreProperties>
</file>